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16B462">
      <w:pPr>
        <w:jc w:val="center"/>
        <w:rPr>
          <w:rFonts w:hint="eastAsia" w:ascii="仿宋_GB2312" w:hAnsi="仿宋_GB2312" w:eastAsia="仿宋_GB2312" w:cs="仿宋_GB2312"/>
          <w:b/>
          <w:bCs/>
          <w:kern w:val="2"/>
          <w:sz w:val="44"/>
          <w:szCs w:val="44"/>
          <w:lang w:val="en-US" w:eastAsia="en-US" w:bidi="ar-SA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44"/>
          <w:szCs w:val="44"/>
          <w:lang w:val="en-US" w:eastAsia="en-US" w:bidi="ar-SA"/>
        </w:rPr>
        <w:t>世界手卫生日</w:t>
      </w:r>
      <w:r>
        <w:rPr>
          <w:rFonts w:hint="eastAsia" w:ascii="仿宋_GB2312" w:hAnsi="仿宋_GB2312" w:eastAsia="仿宋_GB2312" w:cs="仿宋_GB2312"/>
          <w:b/>
          <w:bCs/>
          <w:kern w:val="2"/>
          <w:sz w:val="44"/>
          <w:szCs w:val="44"/>
          <w:lang w:val="en-US" w:eastAsia="zh-CN" w:bidi="ar-SA"/>
        </w:rPr>
        <w:t>——</w:t>
      </w:r>
      <w:r>
        <w:rPr>
          <w:rFonts w:hint="eastAsia" w:ascii="仿宋_GB2312" w:hAnsi="仿宋_GB2312" w:eastAsia="仿宋_GB2312" w:cs="仿宋_GB2312"/>
          <w:b/>
          <w:bCs/>
          <w:color w:val="000000"/>
          <w:sz w:val="44"/>
          <w:szCs w:val="44"/>
          <w:lang w:val="en-US" w:eastAsia="en-US" w:bidi="ar-SA"/>
        </w:rPr>
        <w:t>“拯救生命</w:t>
      </w:r>
      <w:r>
        <w:rPr>
          <w:rFonts w:hint="eastAsia" w:ascii="仿宋_GB2312" w:hAnsi="仿宋_GB2312" w:eastAsia="仿宋_GB2312" w:cs="仿宋_GB2312"/>
          <w:b/>
          <w:bCs/>
          <w:color w:val="000000"/>
          <w:spacing w:val="76"/>
          <w:sz w:val="44"/>
          <w:szCs w:val="44"/>
          <w:lang w:val="en-US" w:eastAsia="en-US" w:bidi="ar-SA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color w:val="000000"/>
          <w:sz w:val="44"/>
          <w:szCs w:val="44"/>
          <w:lang w:val="en-US" w:eastAsia="en-US" w:bidi="ar-SA"/>
        </w:rPr>
        <w:t>清洁双手”</w:t>
      </w:r>
    </w:p>
    <w:p w14:paraId="136B94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en-US" w:bidi="ar-SA"/>
        </w:rPr>
      </w:pPr>
    </w:p>
    <w:p w14:paraId="01B49B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right="105" w:rightChars="50"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en-US" w:bidi="ar-SA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en-US" w:bidi="ar-SA"/>
        </w:rPr>
        <w:t>2026年5月5日是第18个世界手卫生日，今年核心口号为“拯救生命</w:t>
      </w:r>
      <w:r>
        <w:rPr>
          <w:rFonts w:hint="eastAsia" w:ascii="仿宋_GB2312" w:hAnsi="仿宋_GB2312" w:eastAsia="仿宋_GB2312" w:cs="仿宋_GB2312"/>
          <w:color w:val="000000"/>
          <w:spacing w:val="76"/>
          <w:sz w:val="32"/>
          <w:szCs w:val="32"/>
          <w:lang w:val="en-US" w:eastAsia="en-US" w:bidi="ar-SA"/>
        </w:rPr>
        <w:t xml:space="preserve">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en-US" w:bidi="ar-SA"/>
        </w:rPr>
        <w:t>清洁双手”。手卫生是预防与控制医院感染、保障医患安全最经济、最有效、最基础的核心措施，是筑牢医疗安全防线的“第一道屏障”。</w:t>
      </w:r>
    </w:p>
    <w:p w14:paraId="48F531B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05" w:rightChars="5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en-US" w:bidi="ar-S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66040</wp:posOffset>
            </wp:positionV>
            <wp:extent cx="5678170" cy="3785870"/>
            <wp:effectExtent l="0" t="0" r="6350" b="8890"/>
            <wp:wrapTopAndBottom/>
            <wp:docPr id="14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78170" cy="3785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862F4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05" w:rightChars="50" w:firstLine="640" w:firstLineChars="20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en-US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en-US" w:bidi="ar-SA"/>
        </w:rPr>
        <w:t>一、世界手卫生日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的由来：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en-US" w:bidi="ar-SA"/>
        </w:rPr>
        <w:t>即每年的5月5日，是2009年由世界(WHO)卫生组织发起倡议，将每年的5月5日定为世界手卫生日，旨在强调医疗护理过程中提高医务人员手卫生，减少医源性感染。</w:t>
      </w:r>
    </w:p>
    <w:p w14:paraId="527B4B9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05" w:rightChars="5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 w14:paraId="5FBC83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05" w:rightChars="5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 w14:paraId="105AE36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05" w:rightChars="50" w:firstLine="630" w:firstLineChars="30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3070860</wp:posOffset>
            </wp:positionH>
            <wp:positionV relativeFrom="paragraph">
              <wp:posOffset>172720</wp:posOffset>
            </wp:positionV>
            <wp:extent cx="2740660" cy="2931160"/>
            <wp:effectExtent l="0" t="0" r="2540" b="40640"/>
            <wp:wrapTight wrapText="bothSides">
              <wp:wrapPolygon>
                <wp:start x="0" y="0"/>
                <wp:lineTo x="0" y="21450"/>
                <wp:lineTo x="21500" y="21450"/>
                <wp:lineTo x="21500" y="0"/>
                <wp:lineTo x="0" y="0"/>
              </wp:wrapPolygon>
            </wp:wrapTight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40660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二、手卫生“五大时刻”</w:t>
      </w:r>
    </w:p>
    <w:p w14:paraId="2549D8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05" w:rightChars="50" w:firstLine="640" w:firstLineChars="20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en-US" w:bidi="ar-SA"/>
        </w:rPr>
      </w:pPr>
      <w:r>
        <w:rPr>
          <w:rFonts w:hint="eastAsia" w:ascii="宋体" w:hAnsi="宋体" w:eastAsia="宋体" w:cs="宋体"/>
          <w:color w:val="91ACE0" w:themeColor="accent1" w:themeTint="99"/>
          <w:sz w:val="32"/>
          <w:szCs w:val="32"/>
          <w14:textFill>
            <w14:solidFill>
              <w14:schemeClr w14:val="accent1">
                <w14:lumMod w14:val="60000"/>
                <w14:lumOff w14:val="40000"/>
              </w14:schemeClr>
            </w14:solidFill>
          </w14:textFill>
        </w:rPr>
        <w:t>●</w:t>
      </w:r>
      <w:r>
        <w:rPr>
          <w:rFonts w:hint="eastAsia" w:ascii="宋体" w:hAnsi="宋体" w:eastAsia="宋体" w:cs="宋体"/>
          <w:color w:val="91ACE0" w:themeColor="accent1" w:themeTint="99"/>
          <w:sz w:val="32"/>
          <w:szCs w:val="32"/>
          <w:lang w:val="en-US" w:eastAsia="zh-CN"/>
          <w14:textFill>
            <w14:solidFill>
              <w14:schemeClr w14:val="accent1">
                <w14:lumMod w14:val="60000"/>
                <w14:lumOff w14:val="40000"/>
              </w14:schemeClr>
            </w14:solidFill>
          </w14:textFill>
        </w:rPr>
        <w:t xml:space="preserve"> 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en-US" w:bidi="ar-SA"/>
        </w:rPr>
        <w:t>接触患者前</w:t>
      </w:r>
    </w:p>
    <w:p w14:paraId="1F83AD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05" w:rightChars="50" w:firstLine="640" w:firstLineChars="20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en-US" w:bidi="ar-SA"/>
        </w:rPr>
      </w:pPr>
      <w:r>
        <w:rPr>
          <w:rFonts w:hint="eastAsia" w:ascii="宋体" w:hAnsi="宋体" w:eastAsia="宋体" w:cs="宋体"/>
          <w:color w:val="91ACE0" w:themeColor="accent1" w:themeTint="99"/>
          <w:sz w:val="32"/>
          <w:szCs w:val="32"/>
          <w14:textFill>
            <w14:solidFill>
              <w14:schemeClr w14:val="accent1">
                <w14:lumMod w14:val="60000"/>
                <w14:lumOff w14:val="40000"/>
              </w14:schemeClr>
            </w14:solidFill>
          </w14:textFill>
        </w:rPr>
        <w:t>●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en-US" w:bidi="ar-SA"/>
        </w:rPr>
        <w:t>清洁、无菌操作前</w:t>
      </w:r>
    </w:p>
    <w:p w14:paraId="78C900D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05" w:rightChars="50" w:firstLine="640" w:firstLineChars="20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en-US" w:bidi="ar-SA"/>
        </w:rPr>
      </w:pPr>
      <w:r>
        <w:rPr>
          <w:rFonts w:hint="eastAsia" w:ascii="宋体" w:hAnsi="宋体" w:eastAsia="宋体" w:cs="宋体"/>
          <w:color w:val="91ACE0" w:themeColor="accent1" w:themeTint="99"/>
          <w:sz w:val="32"/>
          <w:szCs w:val="32"/>
          <w14:textFill>
            <w14:solidFill>
              <w14:schemeClr w14:val="accent1">
                <w14:lumMod w14:val="60000"/>
                <w14:lumOff w14:val="40000"/>
              </w14:schemeClr>
            </w14:solidFill>
          </w14:textFill>
        </w:rPr>
        <w:t>●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en-US" w:bidi="ar-SA"/>
        </w:rPr>
        <w:t>暴露患者体液风险后</w:t>
      </w:r>
    </w:p>
    <w:p w14:paraId="71640A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05" w:rightChars="50" w:firstLine="640" w:firstLineChars="20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en-US" w:bidi="ar-SA"/>
        </w:rPr>
      </w:pPr>
      <w:r>
        <w:rPr>
          <w:rFonts w:hint="eastAsia" w:ascii="宋体" w:hAnsi="宋体" w:eastAsia="宋体" w:cs="宋体"/>
          <w:color w:val="91ACE0" w:themeColor="accent1" w:themeTint="99"/>
          <w:sz w:val="32"/>
          <w:szCs w:val="32"/>
          <w14:textFill>
            <w14:solidFill>
              <w14:schemeClr w14:val="accent1">
                <w14:lumMod w14:val="60000"/>
                <w14:lumOff w14:val="40000"/>
              </w14:schemeClr>
            </w14:solidFill>
          </w14:textFill>
        </w:rPr>
        <w:t>●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en-US" w:bidi="ar-SA"/>
        </w:rPr>
        <w:t>接触患者后</w:t>
      </w:r>
    </w:p>
    <w:p w14:paraId="249C08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05" w:rightChars="5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宋体" w:hAnsi="宋体" w:eastAsia="宋体" w:cs="宋体"/>
          <w:color w:val="91ACE0" w:themeColor="accent1" w:themeTint="99"/>
          <w:sz w:val="32"/>
          <w:szCs w:val="32"/>
          <w14:textFill>
            <w14:solidFill>
              <w14:schemeClr w14:val="accent1">
                <w14:lumMod w14:val="60000"/>
                <w14:lumOff w14:val="40000"/>
              </w14:schemeClr>
            </w14:solidFill>
          </w14:textFill>
        </w:rPr>
        <w:t>●</w:t>
      </w:r>
      <w:r>
        <w:rPr>
          <w:rFonts w:hint="eastAsia" w:ascii="宋体" w:hAnsi="宋体" w:eastAsia="宋体" w:cs="宋体"/>
          <w:color w:val="91ACE0" w:themeColor="accent1" w:themeTint="99"/>
          <w:sz w:val="32"/>
          <w:szCs w:val="32"/>
          <w:lang w:val="en-US" w:eastAsia="zh-CN"/>
          <w14:textFill>
            <w14:solidFill>
              <w14:schemeClr w14:val="accent1">
                <w14:lumMod w14:val="60000"/>
                <w14:lumOff w14:val="40000"/>
              </w14:schemeClr>
            </w14:solidFill>
          </w14:textFill>
        </w:rPr>
        <w:t xml:space="preserve"> 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en-US" w:bidi="ar-SA"/>
        </w:rPr>
        <w:t>接触患者周围环境后</w:t>
      </w:r>
    </w:p>
    <w:p w14:paraId="0A330CB1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before="222"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BA2F799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before="222"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D3AA718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before="222"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3250565</wp:posOffset>
            </wp:positionH>
            <wp:positionV relativeFrom="paragraph">
              <wp:posOffset>672465</wp:posOffset>
            </wp:positionV>
            <wp:extent cx="2762885" cy="3954145"/>
            <wp:effectExtent l="0" t="0" r="10795" b="0"/>
            <wp:wrapTight wrapText="bothSides">
              <wp:wrapPolygon>
                <wp:start x="0" y="0"/>
                <wp:lineTo x="0" y="21479"/>
                <wp:lineTo x="21446" y="21479"/>
                <wp:lineTo x="21446" y="0"/>
                <wp:lineTo x="0" y="0"/>
              </wp:wrapPolygon>
            </wp:wrapTight>
            <wp:docPr id="2" name="图片 2" descr="d64bc215c3db75ce55a73d587abaf9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64bc215c3db75ce55a73d587abaf9c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三、六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步洗手法：内、外、夹、弓、大、立</w:t>
      </w:r>
    </w:p>
    <w:p w14:paraId="4191CC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05" w:rightChars="50" w:firstLine="640" w:firstLineChars="200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1.掌心相对，手指并拢相互揉搓；</w:t>
      </w:r>
    </w:p>
    <w:p w14:paraId="796AD2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05" w:rightChars="50" w:firstLine="640" w:firstLineChars="200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2.手心对手背沿指缝相互揉搓，交换进行；</w:t>
      </w:r>
      <w:bookmarkStart w:id="0" w:name="_GoBack"/>
      <w:bookmarkEnd w:id="0"/>
    </w:p>
    <w:p w14:paraId="2F44BFE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05" w:rightChars="50" w:firstLine="640" w:firstLineChars="200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3.掌心相对，双手交叉指缝相互揉搓；</w:t>
      </w:r>
    </w:p>
    <w:p w14:paraId="2BFB58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05" w:rightChars="50" w:firstLine="640" w:firstLineChars="20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4.弯曲手指使关节在另一手掌心旋转揉搓，交换进行；</w:t>
      </w:r>
    </w:p>
    <w:p w14:paraId="20B40C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05" w:rightChars="50" w:firstLine="640" w:firstLineChars="200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5.右手握住左手大拇指旋转揉搓，交换进行；</w:t>
      </w:r>
    </w:p>
    <w:p w14:paraId="5AA750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05" w:rightChars="50" w:firstLine="640" w:firstLineChars="20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6.将五个手指尖并拢放在另一手掌心旋转揉搓，交换进行。</w:t>
      </w:r>
    </w:p>
    <w:p w14:paraId="7DA37ED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before="222" w:line="560" w:lineRule="exact"/>
        <w:ind w:left="42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E4CC382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before="222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四、注意要点：</w:t>
      </w:r>
      <w:r>
        <w:rPr>
          <w:rFonts w:hint="eastAsia" w:ascii="仿宋_GB2312" w:hAnsi="仿宋_GB2312" w:eastAsia="仿宋_GB2312" w:cs="仿宋_GB2312"/>
          <w:sz w:val="32"/>
          <w:szCs w:val="32"/>
        </w:rPr>
        <w:t>戴手套不能代替手卫生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！</w:t>
      </w:r>
      <w:r>
        <w:rPr>
          <w:rFonts w:hint="eastAsia" w:ascii="仿宋_GB2312" w:hAnsi="仿宋_GB2312" w:eastAsia="仿宋_GB2312" w:cs="仿宋_GB2312"/>
          <w:sz w:val="32"/>
          <w:szCs w:val="32"/>
        </w:rPr>
        <w:t>摘手套后应进行手卫生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，因</w:t>
      </w:r>
      <w:r>
        <w:rPr>
          <w:rFonts w:hint="eastAsia" w:ascii="仿宋_GB2312" w:hAnsi="仿宋_GB2312" w:eastAsia="仿宋_GB2312" w:cs="仿宋_GB2312"/>
          <w:sz w:val="32"/>
          <w:szCs w:val="32"/>
        </w:rPr>
        <w:t>手套可能存在肉眼难以察觉的微小破损。</w:t>
      </w:r>
    </w:p>
    <w:p w14:paraId="3516843D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200660</wp:posOffset>
            </wp:positionV>
            <wp:extent cx="5240655" cy="3646805"/>
            <wp:effectExtent l="0" t="0" r="1905" b="10795"/>
            <wp:wrapTight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685D08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 w14:paraId="72F092AA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 w14:paraId="748A8635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 w14:paraId="7C4D8036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 w14:paraId="3FECF053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 w14:paraId="354FCE87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 w14:paraId="3AAC4DFA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 w14:paraId="5F36911A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 w14:paraId="6E350C2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 w14:paraId="0FC3C09D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 w14:paraId="34279B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ind w:left="800" w:leftChars="0" w:firstLine="0" w:firstLineChars="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en-US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en-US" w:bidi="ar-SA"/>
        </w:rPr>
        <w:t>五、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en-US" w:bidi="ar-SA"/>
        </w:rPr>
        <w:t>手卫生与感染防控的关系</w:t>
      </w:r>
    </w:p>
    <w:p w14:paraId="3F958B2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en-US" w:bidi="ar-SA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en-US" w:bidi="ar-SA"/>
        </w:rPr>
        <w:t>医疗相关感染是每一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 w:bidi="ar-SA"/>
        </w:rPr>
        <w:t>个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en-US" w:bidi="ar-SA"/>
        </w:rPr>
        <w:t>医疗场所患者面临的日常威胁。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 w:bidi="ar-SA"/>
        </w:rPr>
        <w:t>因其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en-US" w:bidi="ar-SA"/>
        </w:rPr>
        <w:t>加重了抗菌药物耐药负担，给患者、家庭和医务工作者带来巨大痛苦，造成过早死亡和残疾，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 w:bidi="ar-SA"/>
        </w:rPr>
        <w:t>增加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en-US" w:bidi="ar-SA"/>
        </w:rPr>
        <w:t>医疗成本，并阻碍“人人享有高质量医疗服务”目标的实现。</w:t>
      </w:r>
    </w:p>
    <w:p w14:paraId="380655D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en-US" w:bidi="ar-SA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76835</wp:posOffset>
            </wp:positionV>
            <wp:extent cx="5315585" cy="2610485"/>
            <wp:effectExtent l="0" t="0" r="3175" b="10795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9374B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en-US" w:bidi="ar-SA"/>
        </w:rPr>
      </w:pPr>
    </w:p>
    <w:p w14:paraId="0FB766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en-US" w:bidi="ar-SA"/>
        </w:rPr>
      </w:pPr>
    </w:p>
    <w:p w14:paraId="75F485D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en-US" w:bidi="ar-SA"/>
        </w:rPr>
      </w:pPr>
    </w:p>
    <w:p w14:paraId="62355C8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en-US" w:bidi="ar-SA"/>
        </w:rPr>
      </w:pPr>
    </w:p>
    <w:p w14:paraId="734C08D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en-US" w:bidi="ar-SA"/>
        </w:rPr>
      </w:pPr>
    </w:p>
    <w:p w14:paraId="22F35B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en-US" w:bidi="ar-SA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en-US" w:bidi="ar-SA"/>
        </w:rPr>
        <w:t>六、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en-US" w:bidi="ar-SA"/>
        </w:rPr>
        <w:t>手卫生在阻断病原体传播中的作用</w:t>
      </w:r>
    </w:p>
    <w:p w14:paraId="265EE56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en-US" w:bidi="ar-SA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en-US" w:bidi="ar-SA"/>
        </w:rPr>
        <w:t>手是病原体传播的主要媒介，日常活动中手会接触各种物体表面，可能携带细菌、病毒等病原体。通过正确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 w:bidi="ar-SA"/>
        </w:rPr>
        <w:t>手卫生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en-US" w:bidi="ar-SA"/>
        </w:rPr>
        <w:t>，可有效去除或杀灭手上的微生物，阻断“手—口”“手—眼”“手—鼻”等传播途径，防止病原体通过手部接触进入人体，降低感染风险。</w:t>
      </w:r>
    </w:p>
    <w:p w14:paraId="756037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 w:bidi="ar-SA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23495</wp:posOffset>
            </wp:positionV>
            <wp:extent cx="5682615" cy="3599815"/>
            <wp:effectExtent l="0" t="0" r="1905" b="12065"/>
            <wp:wrapNone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474" w:bottom="1440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D44BF8"/>
    <w:rsid w:val="1C7D350B"/>
    <w:rsid w:val="21024A33"/>
    <w:rsid w:val="24805C6F"/>
    <w:rsid w:val="280B6DEF"/>
    <w:rsid w:val="2BA2368E"/>
    <w:rsid w:val="37FD4565"/>
    <w:rsid w:val="4BB631FE"/>
    <w:rsid w:val="50FC06B0"/>
    <w:rsid w:val="6FA16A61"/>
    <w:rsid w:val="74BA5C65"/>
    <w:rsid w:val="74F47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678</Words>
  <Characters>695</Characters>
  <Lines>0</Lines>
  <Paragraphs>0</Paragraphs>
  <TotalTime>63</TotalTime>
  <ScaleCrop>false</ScaleCrop>
  <LinksUpToDate>false</LinksUpToDate>
  <CharactersWithSpaces>707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2026-05-07T02:40:00Z</dcterms:created>
  <dc:creator>Administrator</dc:creator>
  <cp:lastModifiedBy>*最好的时光莫辜负了美*</cp:lastModifiedBy>
  <cp:lastPrinted>2026-05-08T06:07:38Z</cp:lastPrinted>
  <dcterms:modified xsi:type="dcterms:W3CDTF">2026-05-08T06:13:28Z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eyJoZGlkIjoiYTBhNGJjZjhkNjA5MGE0NjBiN2FmMWQ0YWFkM2ZlYTUiLCJ1c2VySWQiOiI0NjgxMjA3MjEifQ==</vt:lpwstr>
  </property>
  <property fmtid="{D5CDD505-2E9C-101B-9397-08002B2CF9AE}" pid="4" name="ICV">
    <vt:lpwstr>4AAF0D32513349A7B3125BA78D26B3EB_13</vt:lpwstr>
  </property>
</Properties>
</file>